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FSaatHerkV — Bestimmung und Bezeichnung von Herkunftsgebieten</w:t>
      </w:r>
    </w:p>
    <w:p>
      <w:r>
        <w:rPr>
          <w:color w:val="555555"/>
          <w:sz w:val="18"/>
        </w:rPr>
        <w:t xml:space="preserve">Forstvermehrungsgut-Herkunftsgebietsverordnung</w:t>
      </w:r>
    </w:p>
    <w:p>
      <w:r>
        <w:rPr>
          <w:color w:val="555555"/>
          <w:sz w:val="18"/>
        </w:rPr>
        <w:t xml:space="preserve">Stand: 10.06.2019 (konsolidierte Textfassung, kein amtliches Inkrafttretensdatum)</w:t>
      </w:r>
    </w:p>
    <w:p>
      <w:r>
        <w:t xml:space="preserve">(1) Als Grundlage für die Abgrenzung von Herkunftsgebieten werden ökologische Grundeinheiten in der als Anlage 1 dieser Verordnung beigefügten "Übersicht über ökologische Grundeinheiten zur Abgrenzung forstlicher Herkunftsgebiete" bestimmt und bezeichnet. Sie sind in der als Anlage 2 dieser Verordnung beigefügten "Karte über ökologische Grundeinheiten zur Abgrenzung forstlicher Herkunftsgebiete" dargestellt.</w:t>
      </w:r>
    </w:p>
    <w:p>
      <w:r>
        <w:t xml:space="preserve">(2) Für die in § 2 Nr. 1 in Verbindung mit der Anlage des Forstvermehrungsgutgesetzes aufgeführten Baumarten werden Herkunftsgebiete in der als Anlage 3 dieser Verordnung beigefügten "Übersicht über forstliche Herkunftsgebiete" auf der Grundlage von ökologischen Grundeinheiten und gegebenenfalls nach der Höhenlage als Höhenstufen bestimmt und bezeichnet. Sie sind mit Ausnahme des Herkunftsgebietes der Gattung Populus (Pappel) in den als Anlage 4 dieser Verordnung beigefügten "Karten über forstliche Herkunftsgebiete" dargestellt.</w:t>
      </w:r>
    </w:p>
    <w:p>
      <w:r>
        <w:rPr>
          <w:color w:val="555555"/>
          <w:sz w:val="17"/>
        </w:rPr>
        <w:t xml:space="preserve">Zitiervorschlag: § 1 FSaatHerkV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https://recht.nulegal.eu/gesetze/FSaatHerkV/1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