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FSV — Pflichten bei Flächenstillegung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Legt der Empfänger einer Rente aus der Alterssicherung der Landwirte oder einer Produktionsaufgaberente eine Fläche nach § 1 Abs. 1 still, ist er verpflichtet,</w:t>
      </w:r>
    </w:p>
    <w:p>
      <w:pPr>
        <w:ind w:left="420"/>
      </w:pPr>
      <w:r>
        <w:t xml:space="preserve">1. die Fläche zur Verhinderung der Erosion oder der Auswaschung von Nitrat zu begrünen oder auf ihr eine Selbstbegrünung zuzulassen,</w:t>
      </w:r>
    </w:p>
    <w:p>
      <w:pPr>
        <w:ind w:left="420"/>
      </w:pPr>
      <w:r>
        <w:t xml:space="preserve">2. für einen Mindestunterhalt der vorhandenen Baumreihen und Hecken entlang den Parzellen, Wasserläufen und Wasserflächen zu sorgen,</w:t>
      </w:r>
    </w:p>
    <w:p>
      <w:pPr>
        <w:ind w:left="420"/>
      </w:pPr>
      <w:r>
        <w:t xml:space="preserve">3. die Fläche nicht zu düngen und darauf kein Abwasser, keinen Klärschlamm, keine Fäkalien und keine ähnlichen Stoffe im Sinne des § 15 Abs. 1 des Abfallgesetzes vom 27. August 1986 (BGBl. I S. 1410) auszubringen,</w:t>
      </w:r>
    </w:p>
    <w:p>
      <w:pPr>
        <w:ind w:left="420"/>
      </w:pPr>
      <w:r>
        <w:t xml:space="preserve">4. auf der Fläche keine Pflanzenschutzmittel anzuwenden,</w:t>
      </w:r>
    </w:p>
    <w:p>
      <w:pPr>
        <w:ind w:left="420"/>
      </w:pPr>
      <w:r>
        <w:t xml:space="preserve">5. den Aufwuchs der Flächen dort zu belassen und</w:t>
      </w:r>
    </w:p>
    <w:p>
      <w:pPr>
        <w:ind w:left="420"/>
      </w:pPr>
      <w:r>
        <w:t xml:space="preserve">6. auf der Fläche keine Meliorationsmaßnahmen vorzunehmen.</w:t>
      </w:r>
    </w:p>
    <w:p>
      <w:r>
        <w:t xml:space="preserve">Soweit Grünland brachgelegt wird, gilt Satz 1 Nr. 2 bis 6; Satz 1 Nr. 5 gilt nur dann nicht, wenn</w:t>
      </w:r>
    </w:p>
    <w:p>
      <w:pPr>
        <w:ind w:left="420"/>
      </w:pPr>
      <w:r>
        <w:t xml:space="preserve">1. der Schnitt und die Entfernung des Aufwuchses aus Gründen des Natur- oder Gewässerschutzes nach Abstimmung mit der nach Landesrecht für Natur- oder Gewässerschutz zuständigen Stelle notwendig ist und</w:t>
      </w:r>
    </w:p>
    <w:p>
      <w:pPr>
        <w:ind w:left="420"/>
      </w:pPr>
      <w:r>
        <w:t xml:space="preserve">2. bei einem Bezieher einer Produktionsaufgaberente ein Verkaufserlös die entstandenen Aufwendungen nicht mehr als geringfügig überschreitet.</w:t>
      </w:r>
    </w:p>
    <w:p>
      <w:r>
        <w:t xml:space="preserve">(2) Bei Nutzung der Flächen zu nichtlandwirtschaftlichen Zwecken, insbesondere einer Verwendung zu Zwecken des Naturschutzes und der Landschaftspflege, ist Absatz 1 entsprechend anzuwenden.</w:t>
      </w:r>
    </w:p>
    <w:p>
      <w:r>
        <w:t xml:space="preserve">(3) Bei einer erstmaligen Aufforstung nach § 2 Nr. 2 ist der Leistungsempfänger verpflichtet, die erstmals aufgeforstete Fläche fachgerecht zu pflegen.</w:t>
      </w:r>
    </w:p>
    <w:p>
      <w:r>
        <w:rPr>
          <w:color w:val="555555"/>
          <w:sz w:val="17"/>
        </w:rPr>
        <w:t xml:space="preserve">Zitiervorschlag: § 3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