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FSTuWV (Brandenburg) — Aufnahmevoraussetzungen</w:t>
      </w:r>
    </w:p>
    <w:p>
      <w:r>
        <w:rPr>
          <w:color w:val="555555"/>
          <w:sz w:val="18"/>
        </w:rPr>
        <w:t xml:space="preserve">Fachschulverordnung Technik und Wirtschaft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Aufnahmevoraussetzung für die Bildungsgänge sind</w:t>
      </w:r>
    </w:p>
    <w:p>
      <w:r>
        <w:t xml:space="preserve">die Fachoberschulreife oder eine gleichwertige Schulbildung,</w:t>
      </w:r>
    </w:p>
    <w:p>
      <w:r>
        <w:t xml:space="preserve">eine abgeschlossene einschlägige Berufsausbildung und</w:t>
      </w:r>
    </w:p>
    <w:p>
      <w:r>
        <w:t xml:space="preserve">eine für diese Fachrichtung einschlägige Berufstätigkeit von einem Jahr, die auch während des Fachschulbesuchs in Teilzeit abgeleistet werden kann.</w:t>
      </w:r>
    </w:p>
    <w:p>
      <w:r>
        <w:rPr>
          <w:color w:val="555555"/>
          <w:sz w:val="17"/>
        </w:rPr>
        <w:t xml:space="preserve">Zitiervorschlag: § 5 FSTuWV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https://recht.nulegal.eu/gesetze/FSTuWV/5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