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FSTuWV (Brandenburg) — Prüfungsergebnis</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setzt nach Abschluss der schriftlichen und mündlichen Prüfungen für jedes Fach die Endnote fest, die in das Abschlusszeugnis übernommen wird.</w:t>
      </w:r>
    </w:p>
    <w:p>
      <w:r>
        <w:t xml:space="preserve">(2) Grundlage für die Festlegung sind die Vornoten sowie die Ergebnisse der schriftlichen und mündlichen Prüfungen. Die Endnoten werden in den Fächern der schriftlichen Prüfung und in dem Fach, in dem eine Facharbeit geschrieben wurde, aus dem arithmetischen Mittel der zweifach gewichteten Vornote, der Note der schriftlichen Prüfung und der Facharbeit und der Note der mündlichen Prüfung, sofern mündlich geprüft wurde, gebildet. Die Endnoten in den übrigen Fächern und Lernfeldern werden aus dem arithmetischen Mittel der zweifach gewichteten Vornote und der Note der mündlichen Prüfung gebildet. Das Ergebnis ist nach der rechnerischen Ermittlung durch Auf- und Abrunden festzusetzen. Liegt das rechnerische Ergebnis genau zwischen zwei Notenstufen (n,5) ist zugunsten der Schülerin oder des Schülers zu entscheiden. Abweichende Entscheidungen sind bei besonderer Würdigung der Prüfungsleistungen möglich, wenn sie im Einzelfall schriftlich begründet im Protokoll festgehalten werden. Findet weder eine schriftliche noch eine mündliche Prüfung statt, ist die Vornote die Endnote.</w:t>
      </w:r>
    </w:p>
    <w:p>
      <w:r>
        <w:t xml:space="preserve">(3) Die Prüfung ist bestanden, wenn die Endnote in allen Fächern mindestens „ausreichend“ lautet.</w:t>
      </w:r>
    </w:p>
    <w:p>
      <w:r>
        <w:t xml:space="preserve">(4) Die Ergebnisse der Prüfung werden den Prüflingen unmittelbar nach Abschluss der Beratungen mitgeteilt.</w:t>
      </w:r>
    </w:p>
    <w:p>
      <w:r>
        <w:rPr>
          <w:color w:val="555555"/>
          <w:sz w:val="17"/>
        </w:rPr>
        <w:t xml:space="preserve">Zitiervorschlag: § 29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