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FSTuWV (Brandenburg) — Mündliche Prüfung</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legt die Fächer fest, in denen eine mündliche Prüfung erfolgen soll.</w:t>
      </w:r>
    </w:p>
    <w:p>
      <w:r>
        <w:t xml:space="preserve">(2) Eine mündliche Prüfung findet in dem Fach statt, in dem die schriftlichen Prüfungen schlechter als „ausreichend“ bewertet wurden. Den Prüflingen ist mit der Bekanntgabe der schriftlichen Prüfungsergebnisse mitzuteilen, ob und in welchem Fach sie zusätzlich mündlich geprüft werden.</w:t>
      </w:r>
    </w:p>
    <w:p>
      <w:r>
        <w:t xml:space="preserve">(3) Die Prüflinge können eine freiwillige mündliche Prüfung in einem Fach zur Notenverbesserung beantragen. Der Antrag ist spätestens am zweiten Schultag nach der Mitteilung gemäß § 30 Absatz 3 schriftlich bei der oder dem Prüfungsvorsitzenden zu stellen.</w:t>
      </w:r>
    </w:p>
    <w:p>
      <w:r>
        <w:rPr>
          <w:color w:val="555555"/>
          <w:sz w:val="17"/>
        </w:rPr>
        <w:t xml:space="preserve">Zitiervorschlag: § 26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