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FSTuWV (Brandenburg) — Bewertung der schriftlichen Prüfung</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Alle schriftlichen Arbeiten sind von den unterrichtenden Lehrkräften zu beurteilen und mit einer Note zu bewerten.</w:t>
      </w:r>
    </w:p>
    <w:p>
      <w:r>
        <w:t xml:space="preserve">(2) Für die Bewertung einer schriftlichen Arbeit ist von der oder dem Vorsitzenden des Prüfungsausschusses eine weitere Fachlehrkraft zu bestimmen, wenn in der Erstkorrektur nicht mindestens die Note „ausreichend“ erteilt wurde. Bei einer von der Erstkorrektur abweichenden Bewertung entscheidet der Prüfungsausschuss über die endgültige Note.</w:t>
      </w:r>
    </w:p>
    <w:p>
      <w:r>
        <w:t xml:space="preserve">(3) Die Ergebnisse der schriftlichen Prüfung werden dem Prüfling mindestens eine Woche vor Beginn der mündlichen Prüfung bekannt gegeben.</w:t>
      </w:r>
    </w:p>
    <w:p>
      <w:r>
        <w:rPr>
          <w:color w:val="555555"/>
          <w:sz w:val="17"/>
        </w:rPr>
        <w:t xml:space="preserve">Zitiervorschlag: § 25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