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FSTuWV (Brandenburg) — Facharbeit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Facharbeit besteht aus der schriftlichen Arbeit und einem Kolloquium zu dieser Arbeit.</w:t>
      </w:r>
    </w:p>
    <w:p>
      <w:r>
        <w:t xml:space="preserve">(2) In dem in der Anlage im berufsbezogenen Lernbereich mit „Facharbeit“ bezeichneten Fach ist durch die Schülerinnen und Schüler eine Facharbeit zu einem praktischen Thema zu erstellen.</w:t>
      </w:r>
    </w:p>
    <w:p>
      <w:r>
        <w:t xml:space="preserve">(3) Die Schülerinnen und Schüler erhalten die Mitteilung zum Thema der zu schreibenden Arbeit sowie den Abgabetermin innerhalb der ersten vier Schulwochen des letzten Ausbildungsjahres.</w:t>
      </w:r>
    </w:p>
    <w:p>
      <w:r>
        <w:rPr>
          <w:color w:val="555555"/>
          <w:sz w:val="17"/>
        </w:rPr>
        <w:t xml:space="preserve">Zitiervorschlag: § 21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