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FSTuWV (Brandenburg) — Leistungsbewertung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Leistungsbewertung erfolgt gemäß § 57 Absatz 2 und 3 des Brandenburgischen Schulgesetzes. Das Nähere zu den Grundsätzen der Leistungsbewertung wird durch Verwaltungsvorschriften geregelt.</w:t>
      </w:r>
    </w:p>
    <w:p>
      <w:r>
        <w:t xml:space="preserve">(2) Leistungen können insbesondere durch schriftliche Arbeiten, Referate und Hausarbeiten erbracht werden. Leistungen, die sich vor allem auf die Bereiche Methoden- und Sozialkompetenz beziehen sowie die Unterrichtsmitarbeit im Sinne der Berücksichtigung der Anzahl und Qualität konstruktiver Beiträge, sind bei der Leistungsbewertung zu berücksichtigen.</w:t>
      </w:r>
    </w:p>
    <w:p>
      <w:r>
        <w:t xml:space="preserve">(3) Pro Schulhalbjahr ist mindestens ein Leistungsnachweis in jedem Fach vorzusehen. Neben schriftlichen Klassenarbeiten können diese auch eine Kombination von schriftlichen und mündlichen Aufgaben sein.</w:t>
      </w:r>
    </w:p>
    <w:p>
      <w:r>
        <w:t xml:space="preserve">(4) Schülerinnen und Schülern mit einer nachgewiesenen physischen oder psychischen Beeinträchtigung oder mit sonderpädagogischem Förderbedarf sind angemessene Erleichterungen zu gewähren, um Nachteile auszugleichen, die sich aus der Art und dem Umfang der jeweiligen Beeinträchtigung oder des sonderpädagogischen Förderbedarfs ergeben. Als solche Erleichterungen kommen insbesondere eine angemessene Verlängerung der Arbeitszeit sowie die Zulassung besonderer Hilfsmittel in Betracht. Die Bereitstellung von Hilfsmitteln soll von der Schule unterstützt werden. Die fachlichen Anforderungen bleiben unberührt. Die Entscheidung trifft die Klassenkonferenz.</w:t>
      </w:r>
    </w:p>
    <w:p>
      <w:r>
        <w:t xml:space="preserve">(5) Das Nähere zum Ausgleich von Nachteilen auf Grund einer Lese-Rechtschreib-Schwierigkeit wird in § 5 der Lesen-Rechtschreiben-Rechnen Verordnung geregelt.</w:t>
      </w:r>
    </w:p>
    <w:p>
      <w:r>
        <w:rPr>
          <w:color w:val="555555"/>
          <w:sz w:val="17"/>
        </w:rPr>
        <w:t xml:space="preserve">Zitiervorschlag: § 10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