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FSSV (Brandenburg) — Zeugnis</w:t>
      </w:r>
    </w:p>
    <w:p>
      <w:r>
        <w:rPr>
          <w:color w:val="555555"/>
          <w:sz w:val="18"/>
        </w:rPr>
        <w:t xml:space="preserve">Fachschulverordnung Sozialwesen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Schülerinnen und Schüler, die die Fachhochschulreife nach § 38 Absatz 1 erworben haben, erhalten im Abschlusszeugnis folgenden Hinweis: „Entsprechend der Vereinbarung über den Erwerb einer Fachhochschulreife in beruflichen Bildungsgängen – Beschluss der Kultusministerkonferenz vom 5. Juni 1998 in der jeweils geltenden Fassung – berechtigt dieses Zeugnis in allen Ländern in der Bundesrepublik Deutschland zum Studium an Fachhochschulen.“</w:t>
      </w:r>
    </w:p>
    <w:p>
      <w:r>
        <w:rPr>
          <w:color w:val="555555"/>
          <w:sz w:val="17"/>
        </w:rPr>
        <w:t xml:space="preserve">Zitiervorschlag: § 39 FSSV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https://recht.nulegal.eu/gesetze/FSSV/39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