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FSSV (Brandenburg) — Gliederung des Bildungsganges</w:t>
      </w:r>
    </w:p>
    <w:p>
      <w:r>
        <w:rPr>
          <w:color w:val="555555"/>
          <w:sz w:val="18"/>
        </w:rPr>
        <w:t xml:space="preserve">Fachschulverordnung Sozialwesen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Fachschule gliedert sich in die Fachrichtungen</w:t>
      </w:r>
    </w:p>
    <w:p>
      <w:r>
        <w:t xml:space="preserve">Sozialpädagogik,</w:t>
      </w:r>
    </w:p>
    <w:p>
      <w:r>
        <w:t xml:space="preserve">Heilerziehungspflege und</w:t>
      </w:r>
    </w:p>
    <w:p>
      <w:r>
        <w:t xml:space="preserve">Heilpädagogik-Aufbaulehrgang</w:t>
      </w:r>
    </w:p>
    <w:p>
      <w:r>
        <w:rPr>
          <w:color w:val="555555"/>
          <w:sz w:val="17"/>
        </w:rPr>
        <w:t xml:space="preserve">Zitiervorschlag: § 2 FSSV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https://recht.nulegal.eu/gesetze/FSSV/2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