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FSSV (Brandenburg) — Organisation der praktischen Ausbildung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praktische Ausbildung kann während des Besuchs des Bildungsgangs in Tagesform und in Blockform in einem oder mehreren Blöcken im Schuljahr durchgeführt werden.</w:t>
      </w:r>
    </w:p>
    <w:p>
      <w:r>
        <w:t xml:space="preserve">(2) Die Entscheidung über die Organisation der praktischen Ausbildung ist in den Gesamtausbildungsplan gemäß § 4 Absatz 6 aufzunehmen.</w:t>
      </w:r>
    </w:p>
    <w:p>
      <w:r>
        <w:rPr>
          <w:color w:val="555555"/>
          <w:sz w:val="17"/>
        </w:rPr>
        <w:t xml:space="preserve">Zitiervorschlag: § 16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