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FSSV (Brandenburg) — Ziel des Bildungsganges</w:t>
      </w:r>
    </w:p>
    <w:p>
      <w:r>
        <w:rPr>
          <w:color w:val="555555"/>
          <w:sz w:val="18"/>
        </w:rPr>
        <w:t xml:space="preserve">Fachschulverordnung Sozialwesen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Bildungsgang der Fachschule für Sozialwesen vermittelt eine vertiefte berufliche Fachbildung und eine erweiterte Allgemeinbildung. Er führt zu einem staatlichen Berufsabschluss nach Landesrecht der beruflichen Weiterbildung.</w:t>
      </w:r>
    </w:p>
    <w:p>
      <w:r>
        <w:t xml:space="preserve">(2) Die Fachschulen ermöglichen den Erwerb der Fachhochschulreife.</w:t>
      </w:r>
    </w:p>
    <w:p>
      <w:r>
        <w:rPr>
          <w:color w:val="555555"/>
          <w:sz w:val="17"/>
        </w:rPr>
        <w:t xml:space="preserve">Zitiervorschlag: § 1 FSSV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