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FSPersAV</w:t>
      </w:r>
    </w:p>
    <w:p>
      <w:r>
        <w:rPr>
          <w:color w:val="555555"/>
          <w:sz w:val="18"/>
        </w:rPr>
        <w:t xml:space="preserve">Flugsicherungspersonalausbildungsverordnung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32 Abs. 4 Satz 1 Nr. 4 und 5 und Satz 3 des Luftverkehrsgesetzes in der Fassung der Bekanntmachung vom 10. Mai 2007 (BGBl. I S. 698) verordnet das Bundesministerium für Verkehr, Bau und Stadtentwicklung im Einvernehmen mit dem Bundesministerium für Bildung und Forschung:</w:t>
      </w:r>
    </w:p>
    <w:p>
      <w:r>
        <w:rPr>
          <w:color w:val="555555"/>
          <w:sz w:val="17"/>
        </w:rPr>
        <w:t xml:space="preserve">Zitiervorschlag: Eingangsformel FSPersAV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https://recht.nulegal.eu/gesetze/FSPersAV/eingangsformel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