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FSPersAV — Ordnungswidrigkeiten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58 Abs. 1 Nr. 10 des Luftverkehrsgesetzes handelt, wer vorsätzlich oder fahrlässig</w:t>
      </w:r>
    </w:p>
    <w:p>
      <w:pPr>
        <w:ind w:left="420"/>
      </w:pPr>
      <w:r>
        <w:t xml:space="preserve">1. ohne Fluglotsenlizenz nach § 4 Abs. 2 Nr. 1 Flugverkehrskontrollaufgaben durchführt,</w:t>
      </w:r>
    </w:p>
    <w:p>
      <w:pPr>
        <w:ind w:left="420"/>
      </w:pPr>
      <w:r>
        <w:t xml:space="preserve">2. entgegen § 4 Abs. 2 Nr. 3 Flugverkehrskontrollaufgaben wahrnimmt oder</w:t>
      </w:r>
    </w:p>
    <w:p>
      <w:pPr>
        <w:ind w:left="420"/>
      </w:pPr>
      <w:r>
        <w:t xml:space="preserve">3. einer vollziehbaren Auflage nach § 4 Abs. 3 zuwiderhandelt.</w:t>
      </w:r>
    </w:p>
    <w:p>
      <w:r>
        <w:rPr>
          <w:color w:val="555555"/>
          <w:sz w:val="17"/>
        </w:rPr>
        <w:t xml:space="preserve">Zitiervorschlag: § 46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