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FSPersAV — Erwerb, Erteilung und Wirkung der Erlaubnisse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Bestehen der Erlaubnisprüfung erwirbt der Bewerber die Erlaubnis für den jeweiligen Verwendungsbereich in den Flugsicherungsbetriebsdiensten nach § 1 Nr. 2 oder für die Inbetriebhaltung betrieblich genutzter flugsicherungstechnischer Einrichtungen nach § 1 Nr. 3. Die Erlaubnis wird von der Aufsichtsbehörde erteilt und im Erlaubnisschein eingetragen. Der Erlaubnisschein wird dem Bewerber ausgehändigt.</w:t>
      </w:r>
    </w:p>
    <w:p>
      <w:r>
        <w:t xml:space="preserve">(2) Das Innehaben der Erlaubnis berechtigt das Flugsicherungspersonal nach § 1 Nr. 2 und 3 zur Tätigkeit an Arbeitsplätzen der Flugsicherungsbetriebsdienste in den entsprechenden Verwendungsbereichen oder an betrieblich genutzten flugsicherungstechnischen Einrichtungen unter der Aufsicht eines Ausbilders.</w:t>
      </w:r>
    </w:p>
    <w:p>
      <w:r>
        <w:rPr>
          <w:color w:val="555555"/>
          <w:sz w:val="17"/>
        </w:rPr>
        <w:t xml:space="preserve">Zitiervorschlag: § 36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