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FSO (Bayern) — Ferien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Gesamtdauer der Ferien während eines Schuljahres beträgt 75 Werktage. § 12 Abs. 2 bleibt unberührt.</w:t>
      </w:r>
    </w:p>
    <w:p>
      <w:r>
        <w:t xml:space="preserve">(2) Bei Fachschulen für Familienpflege kann die Schule in begründeten Fällen mit Zustimmung der Schulaufsichtsbehörde von der Ferienordnung abweichen. Im zweiten Ausbildungsabschnitt wird Urlaub nach den arbeitsrechtlichen Bestimmungen erteilt.</w:t>
      </w:r>
    </w:p>
    <w:p>
      <w:r>
        <w:rPr>
          <w:color w:val="555555"/>
          <w:sz w:val="17"/>
        </w:rPr>
        <w:t xml:space="preserve">Zitiervorschlag: § 9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