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FSO (Bayern) — Berufspraktikum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Note für das Berufspraktikum wird auf Grund</w:t>
      </w:r>
    </w:p>
    <w:p>
      <w:r>
        <w:t xml:space="preserve">1. der Noten der Berichte des Praktikumsbetreuers über die Besuche an der Praktikumsstelle,</w:t>
      </w:r>
    </w:p>
    <w:p>
      <w:r>
        <w:t xml:space="preserve">2. der Note für den Praktikumsbericht der Praktikantin oder des Praktikanten und</w:t>
      </w:r>
    </w:p>
    <w:p>
      <w:r>
        <w:t xml:space="preserve">3. der schriftlichen Zwischen- und Abschlussbeurteilung der Praktikumsstelle gemäß § 12a Abs. 3 Satz 2 über die Tätigkeiten, die fachlichen Leistungen und das Verhalten der Praktikantin oder des Praktikanten,</w:t>
      </w:r>
    </w:p>
    <w:p>
      <w:r>
        <w:t xml:space="preserve">durch den Prüfungsausschuss festgesetzt und der Schülerin oder dem Schüler vor dem Colloquium mit geteilt.</w:t>
      </w:r>
    </w:p>
    <w:p>
      <w:r>
        <w:rPr>
          <w:color w:val="555555"/>
          <w:sz w:val="17"/>
        </w:rPr>
        <w:t xml:space="preserve">Zitiervorschlag: § 63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https://recht.nulegal.eu/gesetze/FSO/63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