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FSO (Bayern) — Prüfungsgegenstände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Bewerberinnen und Bewerber haben folgende Prüfungsleistungen zu erbringen:</w:t>
      </w:r>
    </w:p>
    <w:p>
      <w:r>
        <w:t xml:space="preserve">1. dieselben schriftlichen und praktischen Prüfungsleistungen wie die Schülerinnen und Schüler der öffentlichen oder staatlich anerkannten Fachschulen,</w:t>
      </w:r>
    </w:p>
    <w:p>
      <w:r>
        <w:t xml:space="preserve">2. weitere praktische Aufgaben in den Fächern Freizeit, Kultur und Lebenspraxis sowie Teilhabeorientierte Pflege: Bearbeitungszeit je Fach 20 bis 60 Minuten,</w:t>
      </w:r>
    </w:p>
    <w:p>
      <w:r>
        <w:t xml:space="preserve">3. weitere schriftliche Aufgaben in den übrigen Pflichtfächern: Bearbeitungszeit je 60 Minuten,</w:t>
      </w:r>
    </w:p>
    <w:p>
      <w:r>
        <w:t xml:space="preserve">4. eine mündliche Prüfung gemäß § 44 Abs. 6 Satz 1 und § 55 über den gesamten Unterrichtstoff des Faches Teilhabekonzepte, Methodik und Kommunikation.</w:t>
      </w:r>
    </w:p>
    <w:p>
      <w:r>
        <w:t xml:space="preserve">Auf Antrag wird in bis zu drei schriftlich abgelegten Prüfungsfächern eine mündliche Prüfung durchgeführt. § 44 Abs. 4 bis 6 gilt entsprechend. Im Übrigen findet eine mündliche Prüfung nicht statt.</w:t>
      </w:r>
    </w:p>
    <w:p>
      <w:r>
        <w:t xml:space="preserve">(2) Die Aufgaben nach Abs. 1 Satz 1 Nr. 3 werden vom Prüfungsausschuss gestellt. Der Unterausschuss stellt die Aufgaben für die praktische Prüfung. Der Prüfungsausschuss kann schriftliche Aufgaben nach Abs. 1 Satz 1 Nr. 3 durch eine entsprechende praktische Prüfung ersetzen. Er legt dabei die Prüfungszeit fest.</w:t>
      </w:r>
    </w:p>
    <w:p>
      <w:r>
        <w:rPr>
          <w:color w:val="555555"/>
          <w:sz w:val="17"/>
        </w:rPr>
        <w:t xml:space="preserve">Zitiervorschlag: § 57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