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FSO (Bayern) — Prüfungsgegenstände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Bewerberinnen und Bewerber haben folgende Prüfungsleistungen zu erbringen:</w:t>
      </w:r>
    </w:p>
    <w:p>
      <w:r>
        <w:t xml:space="preserve">1. dieselben schriftlichen und praktischen Prüfungsleistungen wie die Schülerinnen und Schüler der öffentlichen oder staatlich anerkannten Fachschulen,</w:t>
      </w:r>
    </w:p>
    <w:p>
      <w:r>
        <w:t xml:space="preserve">2. weitere schriftliche Aufgaben in den übrigen Pflichtfächern sowie im Fach Religionspädagogische Übungen: Bearbeitungszeit je 60 bis 120 Minuten,</w:t>
      </w:r>
    </w:p>
    <w:p>
      <w:r>
        <w:t xml:space="preserve">3. praktische Aufgaben in den übrigen fachpraktischen Fächern: Dauer je Fach 20 bis 60 Minuten,</w:t>
      </w:r>
    </w:p>
    <w:p>
      <w:r>
        <w:t xml:space="preserve">4. eine mündliche Prüfung gemäß § 44 Abs. 6 über den gesamten Unterrichtstoff des Faches Teilhabekonzepte, Methodik und Kommunikation.</w:t>
      </w:r>
    </w:p>
    <w:p>
      <w:r>
        <w:t xml:space="preserve">Auf Antrag wird in bis zu drei schriftlich abgelegten Prüfungsfächern eine mündliche Prüfung durchgeführt. § 44 Abs. 4 bis 6 gilt entsprechend.</w:t>
      </w:r>
    </w:p>
    <w:p>
      <w:r>
        <w:t xml:space="preserve">(2) Der Prüfungsausschuss stellt die schriftlichen Aufgaben nach Abs. 1 Satz 1 Nr. 2 und legt die Bearbeitungszeiten fest, der Unterausschuss stellt die Aufgaben nach Abs. 1 Satz 1 Nr. 3. Die jeweiligen Bearbeitungszeiten in einem Fach müssen für alle Prüfungsteilnehmerinnen und Prüfungsteilnehmer gleich sein.</w:t>
      </w:r>
    </w:p>
    <w:p>
      <w:r>
        <w:rPr>
          <w:color w:val="555555"/>
          <w:sz w:val="17"/>
        </w:rPr>
        <w:t xml:space="preserve">Zitiervorschlag: § 49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