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FSO (Bayern) — Schriftliche Prüfung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schriftliche Prüfung erstreckt sich auf den gesamten Unterrichtsstoff der Fächer</w:t>
      </w:r>
    </w:p>
    <w:p>
      <w:r>
        <w:t xml:space="preserve">1. Pädagogik, Heilpädagogik und Psychologie: Bearbeitungszeit 240 Minuten und</w:t>
      </w:r>
    </w:p>
    <w:p>
      <w:r>
        <w:t xml:space="preserve">2. Gesundheit, Medizin und Psychiatrie: Bearbeitungszeit 120 Minuten.</w:t>
      </w:r>
    </w:p>
    <w:p>
      <w:r>
        <w:t xml:space="preserve">Die Aufgaben stellt die vom Staatsministerium beauftragte Schulaufsichtsbehörde.</w:t>
      </w:r>
    </w:p>
    <w:p>
      <w:r>
        <w:rPr>
          <w:color w:val="555555"/>
          <w:sz w:val="17"/>
        </w:rPr>
        <w:t xml:space="preserve">Zitiervorschlag: § 42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