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FSO (Bayern) — Prüfungsgegenstände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Fachschulen, für die Anlage 2 keine Wahlpflichtfächer ausweist, haben Bewerberinnen und Bewerber folgende Prüfungsleistungen zu erbringen:</w:t>
      </w:r>
    </w:p>
    <w:p>
      <w:r>
        <w:t xml:space="preserve">1. dieselben schriftlichen und praktischen Prüfungsleistungen wie die Schülerinnen und Schüler der öffentlichen oder staatlich anerkannten Fachschulen,</w:t>
      </w:r>
    </w:p>
    <w:p>
      <w:r>
        <w:t xml:space="preserve">2. weitere schriftliche Aufgaben in den übrigen Pflichtfächern, in denen keine Prüfung nach Nr. 1 abgelegt wurde: Bearbeitungszeit je 60 bis 120 Minuten.</w:t>
      </w:r>
    </w:p>
    <w:p>
      <w:r>
        <w:t xml:space="preserve">(2) In Fachschulen, für die Anlage 2 Wahlpflichtfächer ausweist, haben Bewerberinnen und Bewerber folgende schriftliche Prüfungsleistungen zu erbringen:</w:t>
      </w:r>
    </w:p>
    <w:p>
      <w:r>
        <w:t xml:space="preserve">1. in vier von ihnen aus den in den Stundentafeln der Anlage 2 genannten Prüfungsfächern gewählten Fächern im jeweils angegebenen Umfang, wobei nur solche Fächer gewählt werden dürfen, die auch Schülerinnen und Schüler nach § 32 Abs. 2 Satz 2 gewählt haben,</w:t>
      </w:r>
    </w:p>
    <w:p>
      <w:r>
        <w:t xml:space="preserve">2. in allen Pflichtfächern und Wahlpflichtfächern, in denen keine schriftliche Prüfung gemäß Nr. 1 abgelegt wurde: Bearbeitungszeit je 60 bis 120 Minuten.</w:t>
      </w:r>
    </w:p>
    <w:p>
      <w:r>
        <w:t xml:space="preserve">Es können nur Wahlpflichtfächer gewählt werden, die an der Fachschule, an der die Prüfung abgelegt wird, im laufenden Schuljahr unterrichtet wurden.</w:t>
      </w:r>
    </w:p>
    <w:p>
      <w:r>
        <w:t xml:space="preserve">(3) Der Prüfungsausschuss kann schriftliche Aufgaben nach Abs. 1 Nr. 2 und Abs. 2 Satz 1 Nr. 2 durch eine entsprechende praktische Prüfung ersetzen; er legt dabei die Prüfungszeit fest. Die Bewerberinnen und Bewerber werden auf schriftlichen Antrag in den Prüfungsfächern mündlich geprüft, wenn in der schriftlichen Prüfung eine schlechtere Note als 4 erzielt wurde.</w:t>
      </w:r>
    </w:p>
    <w:p>
      <w:r>
        <w:t xml:space="preserve">(4) Die Schule kann auf Antrag genehmigen, dass die Prüfung in den Fächern nach Abs. 1 Nr. 2, die im ersten Schuljahr abgeschlossen wurden, um höchstens ein Jahr vorgezogen wird.</w:t>
      </w:r>
    </w:p>
    <w:p>
      <w:r>
        <w:t xml:space="preserve">(5) Die Schulaufsichtsbehörde kann Bewerberinnen und Bewerber, die an einem Fernkurs teilgenommen haben, auf deren schriftlichen Antrag in einzelnen Fächern von der Teilnahme an der Prüfung nach den Abs. 1 bis 4 befreien und anordnen, dass in diesen Fächern die Noten aus dem Lehrgangszeugnis in das Abschlusszeugnis übernommen werden. Voraussetzung ist, dass</w:t>
      </w:r>
    </w:p>
    <w:p>
      <w:r>
        <w:t xml:space="preserve">1. der Fernkurs von der Staatlichen Zentralstelle für Fernunterricht als geeignet beurteilt ist,</w:t>
      </w:r>
    </w:p>
    <w:p>
      <w:r>
        <w:t xml:space="preserve">2. die Leistungsanforderungen in den Fächern denen der Abschlussprüfung für andere Bewerberinnen und Bewerber im Wesentlichen gleichwertig sind und</w:t>
      </w:r>
    </w:p>
    <w:p>
      <w:r>
        <w:t xml:space="preserve">3. das Lehrgangszeugnis nicht mehr als ein Jahr vor Beginn der Abschlussprüfung ausgestellt wurde.</w:t>
      </w:r>
    </w:p>
    <w:p>
      <w:r>
        <w:t xml:space="preserve">Eine erteilte Befreiung bleibt auch im Falle der Prüfungswiederholung wirksam. Die Sätze 1 bis 3 gelten nicht für Fächer nach Abs. 1 Nr. 1 und Abs. 2 Satz 1 Nr. 1.</w:t>
      </w:r>
    </w:p>
    <w:p>
      <w:r>
        <w:t xml:space="preserve">(6) An staatlich genehmigten zweijährigen Fachschulen kann in der Teilzeitform die Prüfung unter den Voraussetzungen des Abs. 4 teilweise um bis zu zwei Jahre vorgezogen werden.</w:t>
      </w:r>
    </w:p>
    <w:p>
      <w:r>
        <w:rPr>
          <w:color w:val="555555"/>
          <w:sz w:val="17"/>
        </w:rPr>
        <w:t xml:space="preserve">Zitiervorschlag: § 39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