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FSO (Bayern) — Ausbildungsziele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Ausbildung soll die Schülerinnen und Schüler zu Folgendem befähigen:</w:t>
      </w:r>
    </w:p>
    <w:p>
      <w:r>
        <w:t xml:space="preserve">1. in Fachschulen gemäß § 1 Abs. 1 Satz 2 Nr. 1 bis 3 (zweijährige Fachschulen):</w:t>
      </w:r>
    </w:p>
    <w:p>
      <w:r>
        <w:t xml:space="preserve">a) Übernahme von Aufgaben im mittleren Funktionsbereich als Fachkraft mit beruflicher Erfahrung und</w:t>
      </w:r>
    </w:p>
    <w:p>
      <w:r>
        <w:t xml:space="preserve">b) Erlangung einer vertieften beruflichen Fortbildung unter Berücksichtigung der besonderen Bedürfnisse einer erwachsenenspezifischen Schulbildung;</w:t>
      </w:r>
    </w:p>
    <w:p>
      <w:r>
        <w:t xml:space="preserve">2. in der Fachschule für Heilerziehungspflege: eigenverantwortliche Begleitung, Betreuung, Pflege, Assistenz, Bildung, Sozialisation und Rehabilitation von Menschen, deren personale und soziale Identität und Integration durch Beeinträchtigungen oder Behinderungen erschwert ist;</w:t>
      </w:r>
    </w:p>
    <w:p>
      <w:r>
        <w:t xml:space="preserve">3. in der Fachschule für Heilerziehungspflegehilfe: Tätigkeit als Mitarbeiter der Heilerziehungspflegerin oder des Heilerziehungspflegers im jeweiligen Aufgabenbereich nach deren oder dessen Weisungen;</w:t>
      </w:r>
    </w:p>
    <w:p>
      <w:r>
        <w:t xml:space="preserve">4. in der Fachschule für Familienpflege: eigenverantwortliche Tätigkeit in den Bereichen Betriebs- und Haushaltshilfe, Betreuung und Versorgung von Kindern und Rehabilitation und Teilhabe von Menschen mit Behinderung.</w:t>
      </w:r>
    </w:p>
    <w:p>
      <w:r>
        <w:t xml:space="preserve">(2) Bei erfolgreichem Abschluss verleihen die Fachschulen mit Ausnahme der Meisterschule für Holzbildhauer die Berufsbezeichnungen nach Anlage 1. Die zweijährigen Fachschulen verleihen nach Maßgabe des § 22 Abs. 5 oder § 41 Abs. 4, die Fachschule für Heilerziehungspflege verleiht nach § 22 Abs. 5 die Fachschulreife.</w:t>
      </w:r>
    </w:p>
    <w:p>
      <w:r>
        <w:rPr>
          <w:color w:val="555555"/>
          <w:sz w:val="17"/>
        </w:rPr>
        <w:t xml:space="preserve">Zitiervorschlag: § 2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