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FSMusterzulV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Auf Grund des § 32 Abs. 4 Satz 1 Nr. 2 und Satz 2 des Luftverkehrsgesetzes in der Fassung der Bekanntmachung vom 27. März 1999 (BGBl. I S. 550), zuletzt geändert durch Artikel 285 Nr. 7 Buchstabe c der Siebenten Zuständigkeitsanpassungs-Verordnung vom 29.Oktober 2001 (BGBl. I S. 2785) verordnet das Bundesministerium für Verkehr, Bau- und Wohnungswesen im Benehmen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