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FSMusterzulV — Voraussetzungen für den Betrieb</w:t>
      </w:r>
    </w:p>
    <w:p>
      <w:r>
        <w:rPr>
          <w:color w:val="555555"/>
          <w:sz w:val="18"/>
        </w:rPr>
        <w:t xml:space="preserve">Flugsicherungs-Anlagen- und Geräte-Musterzulassungs-Verordnung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Es ist verboten, Anlagen und Geräte für die Flugsicherung zu betreiben oder betreiben zu lassen, wenn sie nicht baugleich zu dem vom Bundesaufsichtsamt für Flugsicherung gemäß § 6 Abs. 1 zugelassenen Muster sind und die Betreiber nicht über Frequenzzuteilungen der Regulierungsbehörde für Telekommunikation und Post gemäß § 47 Abs. 1 und 5 Satz 1 des Telekommunikationsgesetzes vom 31. Juli 1996 (BGBl. I S. 1120) und gemäß § 2 Abs. 1 und § 4 Abs. 1 der Frequenzzuteilungsverordnung vom 26. April 2001 (BGBl. I S. 829) verfügen.</w:t>
      </w:r>
    </w:p>
    <w:p>
      <w:r>
        <w:rPr>
          <w:color w:val="555555"/>
          <w:sz w:val="17"/>
        </w:rPr>
        <w:t xml:space="preserve">Zitiervorschlag: § 3 FSMusterzulV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https://recht.nulegal.eu/gesetze/FSMusterzulV/3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