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FSMusterzulV — Inkrafttreten</w:t>
      </w:r>
    </w:p>
    <w:p>
      <w:r>
        <w:rPr>
          <w:color w:val="555555"/>
          <w:sz w:val="18"/>
        </w:rPr>
        <w:t xml:space="preserve">Flugsicherungs-Anlagen- und Geräte-Musterzulassungs-Verordnung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12 FSMusterzulV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https://recht.nulegal.eu/gesetze/FSMusterzulV/12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