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FSMusterzulV — Übergangsvorschriften</w:t>
      </w:r>
    </w:p>
    <w:p>
      <w:r>
        <w:rPr>
          <w:color w:val="555555"/>
          <w:sz w:val="18"/>
        </w:rPr>
        <w:t xml:space="preserve">Flugsicherungs-Anlagen- und Geräte-Musterzulassungs-Verordnung</w:t>
      </w:r>
    </w:p>
    <w:p>
      <w:r>
        <w:rPr>
          <w:color w:val="555555"/>
          <w:sz w:val="18"/>
        </w:rPr>
        <w:t xml:space="preserve">Historische Fassung: Stand 10.06.2019 bis 01.01.2026. Dies ist nicht die aktuelle Fassung.</w:t>
      </w:r>
    </w:p>
    <w:p>
      <w:r>
        <w:t xml:space="preserve">Anlagen und Geräte für die Flugsicherung, die vor dem Inkrafttreten des Gesetzes über Funkanlagen und Telekommunikationsendeinrichtungen in Verkehr gebracht worden sind und über eine Zulassung nach der Telekommunikationszulassungsverordnung verfügen, gelten als zugelassen im Sinne dieser Verordnung. Anlagen, die bis zum 1. Juli 2009 durch die DFS Deutsche Flugsicherung GmbH zugelassen worden sind, gelten als zugelassen im Sinne dieser Verordnung.</w:t>
      </w:r>
    </w:p>
    <w:p>
      <w:r>
        <w:rPr>
          <w:color w:val="555555"/>
          <w:sz w:val="17"/>
        </w:rPr>
        <w:t xml:space="preserve">Zitiervorschlag: § 11 FSMusterzulV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https://recht.nulegal.eu/gesetze/FSMusterzulV/11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