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FSMusterzulV — Anwendungsbereich</w:t>
      </w:r>
    </w:p>
    <w:p>
      <w:r>
        <w:rPr>
          <w:color w:val="555555"/>
          <w:sz w:val="18"/>
        </w:rPr>
        <w:t xml:space="preserve">Flugsicherungs-Anlagen- und Geräte-Musterzulassungs-Verordnung</w:t>
      </w:r>
    </w:p>
    <w:p>
      <w:r>
        <w:rPr>
          <w:color w:val="555555"/>
          <w:sz w:val="18"/>
        </w:rPr>
        <w:t xml:space="preserve">Historische Fassung: Stand 10.06.2019 bis 01.01.2026. Dies ist nicht die aktuelle Fassung.</w:t>
      </w:r>
    </w:p>
    <w:p>
      <w:r>
        <w:t xml:space="preserve">Diese Verordnung bestimmt die Anforderungen für die Musterzulassung von Anlagen und Geräten für die Flugsicherung und legt das Verfahren der Musterzulassung sowie die Kennzeichnung und Überwachung der Geräte und Anlagen fest.</w:t>
      </w:r>
    </w:p>
    <w:p>
      <w:r>
        <w:rPr>
          <w:color w:val="555555"/>
          <w:sz w:val="17"/>
        </w:rPr>
        <w:t xml:space="preserve">Zitiervorschlag: § 1 FSMusterzulV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https://recht.nulegal.eu/gesetze/FSMusterzulV/1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