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FSBetrV — Umfang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Flugverkehrskontrolle ist durchzuführen für:</w:t>
      </w:r>
    </w:p>
    <w:p>
      <w:pPr>
        <w:ind w:left="420"/>
      </w:pPr>
      <w:r>
        <w:t xml:space="preserve">1. Flüge nach Instrumentenflugregeln im kontrollierten Luftraum;</w:t>
      </w:r>
    </w:p>
    <w:p>
      <w:pPr>
        <w:ind w:left="420"/>
      </w:pPr>
      <w:r>
        <w:t xml:space="preserve">2. Flugplatzverkehr an Flugplätzen mit Flugplatzkontrolle;</w:t>
      </w:r>
    </w:p>
    <w:p>
      <w:pPr>
        <w:ind w:left="420"/>
      </w:pPr>
      <w:r>
        <w:t xml:space="preserve">3. Flüge nach Sichtflugregeln, soweit sie gemäß den Bestimmungen der Luftverkehrs-Ordnung innerhalb des kontrollierten Luftraumes der Flugverkehrskontrolle unterliegen.</w:t>
      </w:r>
    </w:p>
    <w:p>
      <w:r>
        <w:t xml:space="preserve">(2) Die Flugverkehrskontrolle kann auch andere Fälle erfassen, wenn dies zur Abwehr von Gefahren für die Sicherheit des Luftverkehrs sowie für die öffentliche Sicherheit oder Ordnung durch die Luftfahrt erforderlich ist.</w:t>
      </w:r>
    </w:p>
    <w:p>
      <w:r>
        <w:rPr>
          <w:color w:val="555555"/>
          <w:sz w:val="17"/>
        </w:rPr>
        <w:t xml:space="preserve">Zitiervorschlag: § 5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