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FSBetrV — Aufzeichnung des Flugfernmeldeverkehrs und der Radardaten</w:t>
      </w:r>
    </w:p>
    <w:p>
      <w:r>
        <w:rPr>
          <w:color w:val="555555"/>
          <w:sz w:val="18"/>
        </w:rPr>
        <w:t xml:space="preserve">Verordnung über die Durchführung der Flugsicherung</w:t>
      </w:r>
    </w:p>
    <w:p>
      <w:r>
        <w:rPr>
          <w:color w:val="555555"/>
          <w:sz w:val="18"/>
        </w:rPr>
        <w:t xml:space="preserve">Stand: 10.06.2019 (konsolidierte Textfassung, kein amtliches Inkrafttretensdatum)</w:t>
      </w:r>
    </w:p>
    <w:p>
      <w:r>
        <w:t xml:space="preserve">(1) Der Flugfernmeldeverkehr ist aufzuzeichnen. Dasselbe gilt für die in der Flugverkehrskontrolle verwendeten Radardaten.</w:t>
      </w:r>
    </w:p>
    <w:p>
      <w:r>
        <w:t xml:space="preserve">(2) Schriftliche Aufzeichnungen des Flugfernmeldeverkehrs sind mindestens neunzig Tage, elektromagnetische Aufzeichnungen mindestens dreißig Tage und Aufzeichnungen von Radardaten mindestens vierzehn Tage, beginnend mit dem Tage der Aufzeichnung, aufzubewahren. Aufzeichnungen, deren Inhalt Gegenstand einer behördlichen oder gerichtlichen Untersuchung ist, sind bis zum Abschluß der Untersuchung aufzubewahren.</w:t>
      </w:r>
    </w:p>
    <w:p>
      <w:r>
        <w:rPr>
          <w:color w:val="555555"/>
          <w:sz w:val="17"/>
        </w:rPr>
        <w:t xml:space="preserve">Zitiervorschlag: § 24 FSBetrV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https://recht.nulegal.eu/gesetze/FSBetrV/24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