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FSBetrV — Durchführung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Durchführung des Festen Flugfernmeldedienstes sind von der Flugsicherungsorganisation die erforderlichen Fernmeldeeinrichtungen zu schaffen und zu betreiben.</w:t>
      </w:r>
    </w:p>
    <w:p>
      <w:r>
        <w:t xml:space="preserve">(2) Die Frequenzen für den beweglichen Flugfernmeldedienst und für den Flugrundfunkdienst werden von dem Bundesaufsichtsamt für Flugsicherung festgelegt.</w:t>
      </w:r>
    </w:p>
    <w:p>
      <w:r>
        <w:rPr>
          <w:color w:val="555555"/>
          <w:sz w:val="17"/>
        </w:rPr>
        <w:t xml:space="preserve">Zitiervorschlag: § 23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