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FSBetrV — Arten der Übermittlung, Flugfernmeldestellen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Übermittlung der Flugsicherungsinformationen ist als Fester Flugfernmeldedienst, Beweglicher Flugfernmeldedienst und Flugrundfunkdienst durchzuführen.</w:t>
      </w:r>
    </w:p>
    <w:p>
      <w:r>
        <w:t xml:space="preserve">(2) Fester Flugfernmeldedienst ist die Nachrichtenübermittlung im Festen Flugfernmeldenetz. Beweglicher Flugfernmeldedienst ist die Nachrichtenübermittlung zwischen Boden- und Luftfunkstellen und zwischen Luftfunkstellen. Flugrundfunkdienst ist das Ausstrahlen von Informationen für die Luftfahrt.</w:t>
      </w:r>
    </w:p>
    <w:p>
      <w:r>
        <w:t xml:space="preserve">(3) Zur Durchführung des Festen Flugfernmeldedienstes sind, soweit erforderlich, von der Flugsicherungsorganisation Flugfernmeldestellen einzurichten.</w:t>
      </w:r>
    </w:p>
    <w:p>
      <w:r>
        <w:rPr>
          <w:color w:val="555555"/>
          <w:sz w:val="17"/>
        </w:rPr>
        <w:t xml:space="preserve">Zitiervorschlag: § 22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