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FSBetrV — Vorrang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Bei der Durchführung der Flugverkehrskontrolle ist folgenden Flügen in der angegebenen Reihenfolge Vorrang einzuräumen:</w:t>
      </w:r>
    </w:p>
    <w:p>
      <w:pPr>
        <w:ind w:left="420"/>
      </w:pPr>
      <w:r>
        <w:t xml:space="preserve">1. Flüge, bei denen der Luftfahrzeugführer eine Notlage erklärt hat oder bei denen eine Notlage offensichtlich ist, einschließlich der von einem widerrechtlichen Eingriff betroffenen oder bedrohten Flüge;</w:t>
      </w:r>
    </w:p>
    <w:p>
      <w:pPr>
        <w:ind w:left="420"/>
      </w:pPr>
      <w:r>
        <w:t xml:space="preserve">2. Schutzflüge der Luftverteidigung;</w:t>
      </w:r>
    </w:p>
    <w:p>
      <w:pPr>
        <w:ind w:left="420"/>
      </w:pPr>
      <w:r>
        <w:t xml:space="preserve">3. Flüge im Such- und Rettungseinsatz;</w:t>
      </w:r>
    </w:p>
    <w:p>
      <w:pPr>
        <w:ind w:left="420"/>
      </w:pPr>
      <w:r>
        <w:t xml:space="preserve">4. Flüge mit kranken und verletzten Personen, die sofortiger ärztlicher Hilfe bedürfen;</w:t>
      </w:r>
    </w:p>
    <w:p>
      <w:pPr>
        <w:ind w:left="420"/>
      </w:pPr>
      <w:r>
        <w:t xml:space="preserve">5. Regierungsflüge einschließlich Flüge mit Staatsoberhäuptern nach den Bestimmungen des Bundesministeriums für Verkehr;</w:t>
      </w:r>
    </w:p>
    <w:p>
      <w:pPr>
        <w:ind w:left="420"/>
      </w:pPr>
      <w:r>
        <w:t xml:space="preserve">6. Flüge, bei denen zum Schutz vor Angriffen auf die Sicherheit des zivilen Luftverkehrs eine Vorrangbehandlung erforderlich ist, soweit nicht Nummer 1 Anwendung findet.</w:t>
      </w:r>
    </w:p>
    <w:p>
      <w:r>
        <w:t xml:space="preserve">(2) Das Bundesministerium des Innern kann im Einvernehmen mit dem Bundesministerium für Verkehr allgemein oder im Einzelfall anordnen, in welchen Fällen eine Vorrangbehandlung nach Absatz 1 Nummer 6 zu erfolgen hat. Das Bundesministerium des Innern kann die Ermächtigung zum Erlass der Anordnungen nach Satz 1 dem Bundespolizeipräsidium übertragen.</w:t>
      </w:r>
    </w:p>
    <w:p>
      <w:r>
        <w:rPr>
          <w:color w:val="555555"/>
          <w:sz w:val="17"/>
        </w:rPr>
        <w:t xml:space="preserve">Zitiervorschlag: § 11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