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FSBetrV — Steuerung der Luftraumnutzung</w:t>
      </w:r>
    </w:p>
    <w:p>
      <w:r>
        <w:rPr>
          <w:color w:val="555555"/>
          <w:sz w:val="18"/>
        </w:rPr>
        <w:t xml:space="preserve">Verordnung über die Durchführung der Flugsicherung</w:t>
      </w:r>
    </w:p>
    <w:p>
      <w:r>
        <w:rPr>
          <w:color w:val="555555"/>
          <w:sz w:val="18"/>
        </w:rPr>
        <w:t xml:space="preserve">Stand: 10.06.2019 (konsolidierte Textfassung, kein amtliches Inkrafttretensdatum)</w:t>
      </w:r>
    </w:p>
    <w:p>
      <w:r>
        <w:t xml:space="preserve">Besondere Nutzungen des Luftraumes, insbesondere überregionale Luftfahrtveranstaltungen, militärische Großmanöver, Flüge durch Gebiete mit Flugbeschränkungen und sonstige besondere Flugvorhaben, sind in enger Zusammenarbeit mit den zuständigen Behörden und Stellen zu koordinieren. Die zur Abwehr von Gefahren für die Sicherheit oder Ordnung erforderlichen Mitteilungen sind rechtzeitig zu veröffentlichen.</w:t>
      </w:r>
    </w:p>
    <w:p>
      <w:r>
        <w:rPr>
          <w:color w:val="555555"/>
          <w:sz w:val="17"/>
        </w:rPr>
        <w:t xml:space="preserve">Zitiervorschlag: § 10 FSBetrV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