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FSBeitrV</w:t>
      </w:r>
    </w:p>
    <w:p>
      <w:r>
        <w:rPr>
          <w:color w:val="555555"/>
          <w:sz w:val="18"/>
        </w:rPr>
        <w:t xml:space="preserve">Frequenzschutzbeitragsverordnung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48 Abs. 3 des Telekommunikationsgesetzes vom 25. Juli 1996 (BGBl. I S. 1120), zuletzt geändert durch Artikel 1 und 3 des Gesetzes vom 3. August 2003 (BGBl. I S. 1120), und des § 11 Abs. 2 des Gesetzes über die elektromagnetische Verträglichkeit von Geräten vom 18. September 1998 (BGBl. I S. 2882), geändert durch Artikel 22 des Gesetzes vom 7. Mai 2002 (BGBl. I S. 1529), verordnet das Bundesministerium für Wirtschaft und Arbeit im Einvernehmen mit dem Bundesministerium der Finanzen:</w:t>
      </w:r>
    </w:p>
    <w:p>
      <w:r>
        <w:rPr>
          <w:color w:val="555555"/>
          <w:sz w:val="17"/>
        </w:rPr>
        <w:t xml:space="preserve">Zitiervorschlag: Eingangsformel FSBeitrV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https://recht.nulegal.eu/gesetze/FSBeitrV/eingangsformel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