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FSBeitrV — Anwendungsbestimmung</w:t>
      </w:r>
    </w:p>
    <w:p>
      <w:r>
        <w:rPr>
          <w:color w:val="555555"/>
          <w:sz w:val="18"/>
        </w:rPr>
        <w:t xml:space="preserve">Frequenzschutzbeitragsverordnung</w:t>
      </w:r>
    </w:p>
    <w:p>
      <w:r>
        <w:rPr>
          <w:color w:val="555555"/>
          <w:sz w:val="18"/>
        </w:rPr>
        <w:t xml:space="preserve">Stand: 10.06.2019 (konsolidierte Textfassung, kein amtliches Inkrafttretensdatum)</w:t>
      </w:r>
    </w:p>
    <w:p>
      <w:r>
        <w:t xml:space="preserve">(1) Soweit Beitragsbescheide bestandskräftig geworden sind, verbleibt es bei ihren Festsetzungen. Soweit Beiträge für das Jahr 2003, 2004, 2005, 2006, 2007, 2008, 2009, 2010, 2011, 2012, 2013 oder 2014 noch nicht bestandskräftig festgesetzt sind, sind die zum Zeitpunkt ihrer Festsetzung geltenden Vorschriften auf sie anzuwenden. Bei Festsetzungen für die Jahre 2003, 2004 und 2005 ist die Höhe dieser Beiträge auf den Betrag begrenzt, der sich im Einzelfall aus der Anwendung der für die Jahre 2003, 2004 und 2005 geltenden Anlage der Frequenzschutzbeitragsverordnung in der Fassung vom 27. Mai 2005 (BGBl. I S. 1538) ergibt.</w:t>
      </w:r>
    </w:p>
    <w:p>
      <w:r>
        <w:t xml:space="preserve">(2) Für die Bemessung der Frequenznutzungsbeiträge und der EMV-Beiträge für die Jahre 2015 und 2016 sind die Regelungen des Gesetzes über die elektromagnetische Verträglichkeit von Betriebsmitteln in der bis zum 21. Dezember 2016 geltenden Fassung sowie die Regelungen des Gesetzes über Funkanlagen und Telekommunikationsendeinrichtungen in der bis zum 3. Juli 2017 geltenden Fassung maßgeblich.</w:t>
      </w:r>
    </w:p>
    <w:p>
      <w:r>
        <w:rPr>
          <w:color w:val="555555"/>
          <w:sz w:val="17"/>
        </w:rPr>
        <w:t xml:space="preserve">Zitiervorschlag: § 8 FSBeitrV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https://recht.nulegal.eu/gesetze/FSBeitrV/8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