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FSBeitrV — Erstattung von Beitragsanteilen</w:t>
      </w:r>
    </w:p>
    <w:p>
      <w:r>
        <w:rPr>
          <w:color w:val="555555"/>
          <w:sz w:val="18"/>
        </w:rPr>
        <w:t xml:space="preserve">Frequenzschutzbeitragsverordnung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Zeiten innerhalb eines Kalenderjahres, für die keine Beitragspflicht nach § 1 bestand, werden gezahlte Beitragsanteile je Kalendermonat mit einem Zwölftel des Jahresbeitrags erstattet oder mit der nächsten Beitragszahlung verrechnet.</w:t>
      </w:r>
    </w:p>
    <w:p>
      <w:r>
        <w:t xml:space="preserve">(2) Der Anspruch auf Erstattung zu viel gezahlter Beiträge verjährt nach vier Jahren (Erstattungsverjährung); mit der Verjährung erlischt der Erstattungsanspruch. Die Erstattungsverjährungsfrist beginnt mit Ablauf des Kalenderjahres, in dem der Erstattungsbescheid bekannt gegeben wurde.</w:t>
      </w:r>
    </w:p>
    <w:p>
      <w:r>
        <w:rPr>
          <w:color w:val="555555"/>
          <w:sz w:val="17"/>
        </w:rPr>
        <w:t xml:space="preserve">Zitiervorschlag: § 7 FSBeitrV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https://recht.nulegal.eu/gesetze/FSBeitrV/7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