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FSBeitrV — Verjährung</w:t>
      </w:r>
    </w:p>
    <w:p>
      <w:r>
        <w:rPr>
          <w:color w:val="555555"/>
          <w:sz w:val="18"/>
        </w:rPr>
        <w:t xml:space="preserve">Frequenzschutzbeitragsverordnung</w:t>
      </w:r>
    </w:p>
    <w:p>
      <w:r>
        <w:rPr>
          <w:color w:val="555555"/>
          <w:sz w:val="18"/>
        </w:rPr>
        <w:t xml:space="preserve">Stand: 10.06.2019 (konsolidierte Textfassung, kein amtliches Inkrafttretensdatum)</w:t>
      </w:r>
    </w:p>
    <w:p>
      <w:r>
        <w:t xml:space="preserve">(1) Eine Festsetzung der Beiträge, ihre Aufhebung oder Änderung ist nicht mehr zulässig, wenn die Festsetzungsfrist abgelaufen ist (Festsetzungsverjährung). Die Festsetzungsfrist beträgt vier Jahre. Sie beginnt am 1. Januar des dem Beitragsjahr folgenden Jahres, frühestens jedoch mit Kenntnis der Bundesnetzagentur von beitragsrelevanten Sachverhalten oder einer Mitteilung nach § 2 Abs. 6. Wird vor Ablauf der Frist ein Antrag auf Aufhebung oder Änderung der Festsetzung gestellt, ist die Festsetzungsfrist so lange gehemmt, bis über den Antrag unanfechtbar entschieden wurde.</w:t>
      </w:r>
    </w:p>
    <w:p>
      <w:r>
        <w:t xml:space="preserve">(2) Der Anspruch auf Zahlung festgesetzter Beiträge verjährt nach vier Jahren (Zahlungsverjährung); mit der Verjährung erlischt die Forderung. Die Verjährung beginnt mit Ablauf des Kalenderjahres, in dem der Anspruch fällig geworden ist.</w:t>
      </w:r>
    </w:p>
    <w:p>
      <w:r>
        <w:t xml:space="preserve">(3) Die Festsetzungs- und Zahlungsverjährung sind gehemmt, solange der Anspruch wegen höherer Gewalt innerhalb der letzten sechs Monate der Verjährungsfrist nicht geltend gemacht werden kann.</w:t>
      </w:r>
    </w:p>
    <w:p>
      <w:r>
        <w:t xml:space="preserve">(4) Die Festsetzungsverjährung wird durch schriftliche Zahlungsaufforderung und durch Ermittlungen des Gläubigers über Wohnsitz oder Aufenthalt des Zahlungspflichtigen unterbrochen. Die Zahlungsverjährung wird unterbrochen durch erneute schriftliche Zahlungsaufforderung (Mahnung), durch Zahlungsaufschub, durch Stundung, durch Niederschlagung, durch Aussetzung der Vollziehung, durch Sicherheitsleistung, durch eine Vollstreckungsmaßnahme, durch Vollstreckungsaufschub, durch Anmeldung im Insolvenzverfahren und durch Ermittlung des Gläubigers über Wohnsitz oder Aufenthalt des Zahlungspflichtigen.</w:t>
      </w:r>
    </w:p>
    <w:p>
      <w:r>
        <w:t xml:space="preserve">(5) Mit Ablauf des Kalenderjahres, in dem die Unterbrechung endet, beginnt eine neue vierjährige Verjährung.</w:t>
      </w:r>
    </w:p>
    <w:p>
      <w:r>
        <w:rPr>
          <w:color w:val="555555"/>
          <w:sz w:val="17"/>
        </w:rPr>
        <w:t xml:space="preserve">Zitiervorschlag: § 6 FSBeitrV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https://recht.nulegal.eu/gesetze/FSBeitrV/6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