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FSBeitrV — Ermittlung der Kosten und Festlegung von Jahresbeiträgen</w:t>
      </w:r>
    </w:p>
    <w:p>
      <w:r>
        <w:rPr>
          <w:color w:val="555555"/>
          <w:sz w:val="18"/>
        </w:rPr>
        <w:t xml:space="preserve">Frequenzschutzbeitragsverordnung</w:t>
      </w:r>
    </w:p>
    <w:p>
      <w:r>
        <w:rPr>
          <w:color w:val="555555"/>
          <w:sz w:val="18"/>
        </w:rPr>
        <w:t xml:space="preserve">Stand: 22.09.2022 (konsolidierte Textfassung, kein amtliches Inkrafttretensdatum)</w:t>
      </w:r>
    </w:p>
    <w:p>
      <w:r>
        <w:t xml:space="preserve">(1) Die durch Beiträge nach</w:t>
      </w:r>
    </w:p>
    <w:p>
      <w:pPr>
        <w:ind w:left="420"/>
      </w:pPr>
      <w:r>
        <w:t xml:space="preserve">1. § 224 Absatz 1 des Telekommunikationsgesetzes,</w:t>
      </w:r>
    </w:p>
    <w:p>
      <w:pPr>
        <w:ind w:left="420"/>
      </w:pPr>
      <w:r>
        <w:t xml:space="preserve">2. § 31 Absatz 1 des Elektromagnetische-Verträglichkeit-Gesetzes und</w:t>
      </w:r>
    </w:p>
    <w:p>
      <w:pPr>
        <w:ind w:left="420"/>
      </w:pPr>
      <w:r>
        <w:t xml:space="preserve">3. § 35 Absatz 1 des Funkanlagengesetzes</w:t>
      </w:r>
    </w:p>
    <w:p>
      <w:r>
        <w:t xml:space="preserve">abzugeltenden Personal- und Sachkosten werden von der Bundesnetzagentur erfasst und den in Spalte 3 der Anlage aufgeführten Nutzergruppen zugeordnet. Die den nach § 2 beitragsbefreiten Nutzern zuzuordnenden Kosten werden nicht auf die beitragspflichtigen Nutzer umgelegt.</w:t>
      </w:r>
    </w:p>
    <w:p>
      <w:r>
        <w:t xml:space="preserve">(2) Von den durch Beiträge abzugeltenden Personal- und Sachkosten trägt der Bund</w:t>
      </w:r>
    </w:p>
    <w:p>
      <w:pPr>
        <w:ind w:left="420"/>
      </w:pPr>
      <w:r>
        <w:t xml:space="preserve">1. 20 Prozent als Selbstbehalt zur Abgeltung des Allgemeininteresses an einer störungsfreien und effizienten Frequenznutzung nach § 224 Absatz 1 des Telekommunikationsgesetzes,</w:t>
      </w:r>
    </w:p>
    <w:p>
      <w:pPr>
        <w:ind w:left="420"/>
      </w:pPr>
      <w:r>
        <w:t xml:space="preserve">2. 35 Prozent als Selbstbehalt zur Abgeltung des Allgemeininteresses an der Gewährleistung der elektromagnetischen Verträglichkeit von Betriebsmitteln nach § 31 Absatz 1 des Elektromagnetische-Verträglichkeit-Gesetzes und</w:t>
      </w:r>
    </w:p>
    <w:p>
      <w:pPr>
        <w:ind w:left="420"/>
      </w:pPr>
      <w:r>
        <w:t xml:space="preserve">3. 50 Prozent als Selbstbehalt zur Abgeltung des Allgemeininteresses an der Gewährleistung der Bereitstellung von Funkanlagen nach § 35 Absatz 1 des Funkanlagengesetzes.</w:t>
      </w:r>
    </w:p>
    <w:p>
      <w:r>
        <w:t xml:space="preserve">In den errechneten und in der Anlage ausgewiesenen Beträgen ist dieser Selbstbehalt berücksichtigt.</w:t>
      </w:r>
    </w:p>
    <w:p>
      <w:r>
        <w:t xml:space="preserve">(3) Der für jede Bezugseinheit (Spalte 4 der Anlage) festzulegende Jahresbeitrag wird berechnet, indem der je Nutzergruppe maßgebliche Aufwand des Erhebungsjahres durch die Zahl der Bezugseinheiten in der Nutzergruppe geteilt wird.</w:t>
      </w:r>
    </w:p>
    <w:p>
      <w:r>
        <w:t xml:space="preserve">(4) Für die für jede Nutzergruppe vorhandenen Bezugseinheiten sind die statistischen Unterlagen der Bundesnetzagentur maßgeblich.</w:t>
      </w:r>
    </w:p>
    <w:p>
      <w:r>
        <w:rPr>
          <w:color w:val="555555"/>
          <w:sz w:val="17"/>
        </w:rPr>
        <w:t xml:space="preserve">Zitiervorschlag: § 3 FSBeitrV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https://recht.nulegal.eu/gesetze/FSBeitrV/3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