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FSBeitrV — Beitragsbefreiungen</w:t>
      </w:r>
    </w:p>
    <w:p>
      <w:r>
        <w:rPr>
          <w:color w:val="555555"/>
          <w:sz w:val="18"/>
        </w:rPr>
        <w:t xml:space="preserve">Frequenzschutzbeitragsverordnung</w:t>
      </w:r>
    </w:p>
    <w:p>
      <w:r>
        <w:rPr>
          <w:color w:val="555555"/>
          <w:sz w:val="18"/>
        </w:rPr>
        <w:t xml:space="preserve">Stand: 11.01.2025 (konsolidierte Textfassung, kein amtliches Inkrafttretensdatum)</w:t>
      </w:r>
    </w:p>
    <w:p>
      <w:r>
        <w:t xml:space="preserve">(1) Von der Beitragsverpflichtung werden befreit:</w:t>
      </w:r>
    </w:p>
    <w:p>
      <w:pPr>
        <w:ind w:left="420"/>
      </w:pPr>
      <w:r>
        <w:t xml:space="preserve">1. die Bundesrepublik Deutschland und die bundesunmittelbaren juristischen Personen des öffentlichen Rechts, deren Ausgaben ganz oder teilweise auf Grund gesetzlicher Verpflichtungen aus dem Haushalt des Bundes getragen werden,</w:t>
      </w:r>
    </w:p>
    <w:p>
      <w:pPr>
        <w:ind w:left="420"/>
      </w:pPr>
      <w:r>
        <w:t xml:space="preserve">2. die Länder und die juristischen Personen des öffentlichen Rechts, die nach den Haushaltsplänen eines Landes für Rechnung eines Landes verwaltet werden, und</w:t>
      </w:r>
    </w:p>
    <w:p>
      <w:pPr>
        <w:ind w:left="420"/>
      </w:pPr>
      <w:r>
        <w:t xml:space="preserve">3. die Gemeinden und Gemeindeverbände, sofern die zugeteilten Frequenzen nicht von ihren wirtschaftlichen Unternehmen genutzt werden.</w:t>
      </w:r>
    </w:p>
    <w:p>
      <w:r>
        <w:t xml:space="preserve">(2) Für die bestimmungsgemäße Nutzung von Frequenzen, die Behörden und Organisationen mit Sicherheitsaufgaben vorbehalten ist, werden keine Beiträge erhoben. Dies gilt ebenfalls für Organisationen, die denen nach Satz 1 vergleichbar sind, auch wenn sie andere Frequenzen für Aufgaben nutzen, die ihnen durch Gesetz, auf Grund eines Gesetzes oder durch öffentlich-rechtliche Vereinbarung übertragen worden sind. Zuständig für die Feststellung der Vergleichbarkeit nach Satz 2 ist das Bundesministerium des Innern und für Heimat.</w:t>
      </w:r>
    </w:p>
    <w:p>
      <w:r>
        <w:t xml:space="preserve">(3) Eine Beitragsbefreiung tritt nicht ein, wenn und soweit die in den Absätzen 1 und 2 Genannten berechtigt sind, die Beiträge Dritten aufzuerlegen.</w:t>
      </w:r>
    </w:p>
    <w:p>
      <w:r>
        <w:t xml:space="preserve">(4) Beitragsbefreiung nach Absatz 1 besteht nicht für Sondervermögen und Bundesbetriebe im Sinne des Artikels 110 Abs. 1 des Grundgesetzes, für gleichartige Einrichtungen der Länder sowie für öffentlich-rechtliche Unternehmen, an denen der Bund oder ein Land beteiligt ist.</w:t>
      </w:r>
    </w:p>
    <w:p>
      <w:r>
        <w:t xml:space="preserve">(5) Für Sendefunkanlagen, die von Amts wegen einer Allgemeinzuteilung für die Benutzung von bestimmten Frequenzen durch die Allgemeinheit oder einen nach allgemeinen Merkmalen bestimmten oder bestimmbaren Personenkreis unterliegen, werden keine Beiträge erhoben. Eine Beitragsbefreiung nach Satz 1 tritt nicht ein, wenn die Nutzung der Frequenzen nach den Bedingungen der Allgemeinzuteilung einer vorherigen Zuteilung von Nummern bedarf.</w:t>
      </w:r>
    </w:p>
    <w:p>
      <w:r>
        <w:t xml:space="preserve">(6) Der Wegfall beitragsbefreiender Umstände ist der Bundesnetzagentur umgehend mitzuteilen.</w:t>
      </w:r>
    </w:p>
    <w:p>
      <w:r>
        <w:t xml:space="preserve">(7) Soweit das Bundesministerium für Wirtschaft und Klimaschutz im Einvernehmen mit dem Bundesministerium der Finanzen und dem Bundesministerium für Digitales und Verkehr festgestellt hat, dass an der Nutzung von Frequenzen ein besonderes Interesse der Bundesrepublik Deutschland besteht, kann Beitragsbefreiung gewährt werden.</w:t>
      </w:r>
    </w:p>
    <w:p>
      <w:r>
        <w:rPr>
          <w:color w:val="555555"/>
          <w:sz w:val="17"/>
        </w:rPr>
        <w:t xml:space="preserve">Zitiervorschlag: § 2 FSBeitrV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https://recht.nulegal.eu/gesetze/FSBeitrV/2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