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FSAV 2004</w:t>
      </w:r>
    </w:p>
    <w:p>
      <w:r>
        <w:rPr>
          <w:color w:val="555555"/>
          <w:sz w:val="18"/>
        </w:rPr>
        <w:t xml:space="preserve">Verordnung über die Flugsicherungsausrüstung der Luftfahrzeuge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32 Abs. 4 Satz 1 Nr. 2 des Luftverkehrsgesetzes in der Fassung der Bekanntmachung vom 27. März 1999 (BGBl. I S. 550), der durch Artikel 285 Nr. 7 Buchstabe c der Verordnung vom 29. Oktober 2001 (BGBl. I S. 2785) zuletzt geändert wurde, verordnet das Bundesministerium für Verkehr, Bau- und Wohnungswesen:</w:t>
      </w:r>
    </w:p>
    <w:p>
      <w:r>
        <w:rPr>
          <w:color w:val="555555"/>
          <w:sz w:val="17"/>
        </w:rPr>
        <w:t xml:space="preserve">Zitiervorschlag: Eingangsformel FSAV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https://recht.nulegal.eu/gesetze/FSAV%202004/eingangsformel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