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FSAV 2004 — Inkrafttreten, Außerkrafttreten</w:t>
      </w:r>
    </w:p>
    <w:p>
      <w:r>
        <w:rPr>
          <w:color w:val="555555"/>
          <w:sz w:val="18"/>
        </w:rPr>
        <w:t xml:space="preserve">Verordnung über die Flugsicherungsausrüstung der Luftfahrzeuge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Tag nach der Verkündung in Kraft, soweit im folgenden Absatz nichts Abweichendes bestimmt ist.</w:t>
      </w:r>
    </w:p>
    <w:p>
      <w:r>
        <w:t xml:space="preserve">(2) § 4 Abs. 1 tritt für aerodynamisch gesteuerte Ultraleichtflugzeuge und Tragschrauber am 1. Januar 2007 in Kraft. Bis dahin wird die Ausrüstungspflicht nach § 4 Abs. 1 für diese Luftfahrzeuge als Empfehlung gesehen.</w:t>
      </w:r>
    </w:p>
    <w:p>
      <w:r>
        <w:rPr>
          <w:color w:val="555555"/>
          <w:sz w:val="17"/>
        </w:rPr>
        <w:t xml:space="preserve">Zitiervorschlag: § 7 FSAV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https://recht.nulegal.eu/gesetze/FSAV%202004/7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