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FSAV 2004 — Ordnungswidrigkeiten</w:t>
      </w:r>
    </w:p>
    <w:p>
      <w:r>
        <w:rPr>
          <w:color w:val="555555"/>
          <w:sz w:val="18"/>
        </w:rPr>
        <w:t xml:space="preserve">Verordnung über die Flugsicherungsausrüstung der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58 Abs. 1 Nr. 10 des Luftverkehrsgesetzes handelt, wer vorsätzlich oder fahrlässig</w:t>
      </w:r>
    </w:p>
    <w:p>
      <w:pPr>
        <w:ind w:left="420"/>
      </w:pPr>
      <w:r>
        <w:t xml:space="preserve">1. als verantwortlicher Luftfahrzeugführer entgegen § 5 Abs. 1 einen Flug durchführt oder</w:t>
      </w:r>
    </w:p>
    <w:p>
      <w:pPr>
        <w:ind w:left="420"/>
      </w:pPr>
      <w:r>
        <w:t xml:space="preserve">2. als Eigentümer oder Halter eines Luftfahrzeugs entgegen § 5 Abs. 3 die Durchführung eines Fluges zulässt.</w:t>
      </w:r>
    </w:p>
    <w:p>
      <w:r>
        <w:rPr>
          <w:color w:val="555555"/>
          <w:sz w:val="17"/>
        </w:rPr>
        <w:t xml:space="preserve">Zitiervorschlag: § 6 FSAV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https://recht.nulegal.eu/gesetze/FSAV%202004/6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