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FRGGDV (Brandenburg)</w:t>
      </w:r>
    </w:p>
    <w:p>
      <w:r>
        <w:rPr>
          <w:color w:val="555555"/>
          <w:sz w:val="18"/>
        </w:rPr>
        <w:t xml:space="preserve">Verordnung zur Durchführung des Funktionalreformgrundsätzegesetzes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1. Januar 1995 in</w:t>
      </w:r>
    </w:p>
    <w:p>
      <w:r>
        <w:t xml:space="preserve">Kraft.</w:t>
      </w:r>
    </w:p>
    <w:p>
      <w:r>
        <w:t xml:space="preserve">Potsdam, den 28. Juni 1995</w:t>
      </w:r>
    </w:p>
    <w:p>
      <w:r>
        <w:rPr>
          <w:color w:val="555555"/>
          <w:sz w:val="17"/>
        </w:rPr>
        <w:t xml:space="preserve">Zitiervorschlag: § 4 FRGGDV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