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FRGGDV (Brandenburg)</w:t>
      </w:r>
    </w:p>
    <w:p>
      <w:r>
        <w:rPr>
          <w:color w:val="555555"/>
          <w:sz w:val="18"/>
        </w:rPr>
        <w:t xml:space="preserve">Verordnung zur Durchführung des Funktionalreformgrundsätzegesetzes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Soweit die Übertragung von landeseigenen Grundstücken aus rechtlichen oder tatsächlichen Gründen nicht möglich ist, können abweichend von § 1 Abs. 1 und 2</w:t>
      </w:r>
    </w:p>
    <w:p>
      <w:r>
        <w:t xml:space="preserve">ein Entgelt in Höhe eines angemessenen ortsüblichen Mietzinses gezahlt oder</w:t>
      </w:r>
    </w:p>
    <w:p>
      <w:r>
        <w:t xml:space="preserve">die angemessenen Kosten für die Errichtung eines entsprechenden Teils eines Verwaltungsgebäudes erstattet</w:t>
      </w:r>
    </w:p>
    <w:p>
      <w:r>
        <w:t xml:space="preserve">oder</w:t>
      </w:r>
    </w:p>
    <w:p>
      <w:r>
        <w:t xml:space="preserve">eine unentgeltliche Nutzung eingeräumt werden.</w:t>
      </w:r>
    </w:p>
    <w:p>
      <w:r>
        <w:t xml:space="preserve">(2) Soweit im Einvernehmen von einer Eigentumsübertragung nach § 1 Abs. 1 und 2 abgesehen wird, sollen die Beteiligten eine Vereinbarung schließen; diese kann insbesondere Regelungen des Absatzes 1 Nr. 1 bis 3 beinhalten.</w:t>
      </w:r>
    </w:p>
    <w:p>
      <w:r>
        <w:t xml:space="preserve">(3) Eine Kostenerstattung nach Absatz 1 Nr. 1 oder 2 erfolgt</w:t>
      </w:r>
    </w:p>
    <w:p>
      <w:r>
        <w:t xml:space="preserve">zusammen mit der Erstattung der übrigen Kosten entsprechend den jeweiligen Festlegungen im Gemeindefinanzierungsgesetz.</w:t>
      </w:r>
    </w:p>
    <w:p>
      <w:r>
        <w:rPr>
          <w:color w:val="555555"/>
          <w:sz w:val="17"/>
        </w:rPr>
        <w:t xml:space="preserve">Zitiervorschlag: § 3 FRGGDV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https://recht.nulegal.eu/gesetze/FRGGDV/3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