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FRGGDV (Brandenburg)</w:t>
      </w:r>
    </w:p>
    <w:p>
      <w:r>
        <w:rPr>
          <w:color w:val="555555"/>
          <w:sz w:val="18"/>
        </w:rPr>
        <w:t xml:space="preserve">Verordnung zur Durchführung des Funktionalreformgrundsätzegesetzes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nach § 1 Abs. 1 oder 2 Eigentum übertragen wird, trägt der neue Eigentümer alle mit dem Eigentum im Zusammenhang stehenden Kosten.</w:t>
      </w:r>
    </w:p>
    <w:p>
      <w:r>
        <w:rPr>
          <w:color w:val="555555"/>
          <w:sz w:val="17"/>
        </w:rPr>
        <w:t xml:space="preserve">Zitiervorschlag: § 2 FRGGDV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https://recht.nulegal.eu/gesetze/FRGGDV/2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