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FRGGBbg (Brandenburg) — Überleitung von Kreisaufgaben</w:t>
      </w:r>
    </w:p>
    <w:p>
      <w:r>
        <w:rPr>
          <w:color w:val="555555"/>
          <w:sz w:val="18"/>
        </w:rPr>
        <w:t xml:space="preserve">Funktionalreformgrundsätzegesetz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den Landkreisen übertragenen Pflichtaufgaben zur</w:t>
      </w:r>
    </w:p>
    <w:p>
      <w:r>
        <w:t xml:space="preserve">Erfüllung nach Weisung und Auftragsangelegenheiten sind auf die Ämter</w:t>
      </w:r>
    </w:p>
    <w:p>
      <w:r>
        <w:t xml:space="preserve">und amtsfreien Gemeinden durch Gesetz oder aufgrund eines Gesetzes zu</w:t>
      </w:r>
    </w:p>
    <w:p>
      <w:r>
        <w:t xml:space="preserve">übertragen, wenn</w:t>
      </w:r>
    </w:p>
    <w:p>
      <w:r>
        <w:t xml:space="preserve">die Aufgabe besonders publikumsintensiv ist oder sich für eine orts-</w:t>
      </w:r>
    </w:p>
    <w:p>
      <w:r>
        <w:t xml:space="preserve">und bürgernahe Wahrnehmung eignet oder</w:t>
      </w:r>
    </w:p>
    <w:p>
      <w:r>
        <w:t xml:space="preserve">ihre Erledigung besondere Orts- und Objektkenntnisse erfordert oder</w:t>
      </w:r>
    </w:p>
    <w:p>
      <w:r>
        <w:t xml:space="preserve">die Aufgabe in engem Zusammenhang mit solchen Aufgaben steht, die bereits</w:t>
      </w:r>
    </w:p>
    <w:p>
      <w:r>
        <w:t xml:space="preserve">von den Ämtern oder Gemeinden wahrgenommen werden oder</w:t>
      </w:r>
    </w:p>
    <w:p>
      <w:r>
        <w:t xml:space="preserve">die wesentlichen Grundlagen für die Erfüllung der Aufgaben von</w:t>
      </w:r>
    </w:p>
    <w:p>
      <w:r>
        <w:t xml:space="preserve">den Ämtern und Gemeinden erarbeitet und vorbereitet werden,</w:t>
      </w:r>
    </w:p>
    <w:p>
      <w:r>
        <w:t xml:space="preserve">es sei denn, die Aufgaben können von den</w:t>
      </w:r>
    </w:p>
    <w:p>
      <w:r>
        <w:t xml:space="preserve">kreisangehörigen Gemeinden und Ämtern nicht sachgerecht,</w:t>
      </w:r>
    </w:p>
    <w:p>
      <w:r>
        <w:t xml:space="preserve">wirtschaftlich und effektiv erfüllt werden.</w:t>
      </w:r>
    </w:p>
    <w:p>
      <w:r>
        <w:t xml:space="preserve">(2) Werden durch Landesrecht Aufgaben der Landkreise auf die</w:t>
      </w:r>
    </w:p>
    <w:p>
      <w:r>
        <w:t xml:space="preserve">kreisangehörigen Gemeinden und Ämter übertragen, so sind die</w:t>
      </w:r>
    </w:p>
    <w:p>
      <w:r>
        <w:t xml:space="preserve">Regelungen der §§ 3 bis 5 entsprechend anzuwenden und die Kreisumlage</w:t>
      </w:r>
    </w:p>
    <w:p>
      <w:r>
        <w:t xml:space="preserve">dem Umfang des Aufgaben-, Personal- und Vermögensübergangs</w:t>
      </w:r>
    </w:p>
    <w:p>
      <w:r>
        <w:t xml:space="preserve">anzupassen. Die Beteiligten können einvernehmlich eine andere Regelung</w:t>
      </w:r>
    </w:p>
    <w:p>
      <w:r>
        <w:t xml:space="preserve">treffen.</w:t>
      </w:r>
    </w:p>
    <w:p>
      <w:r>
        <w:rPr>
          <w:color w:val="555555"/>
          <w:sz w:val="17"/>
        </w:rPr>
        <w:t xml:space="preserve">Zitiervorschlag: § 6 FRGGBbg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https://recht.nulegal.eu/gesetze/FRGGBbg/6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