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FRG</w:t>
      </w:r>
    </w:p>
    <w:p>
      <w:r>
        <w:rPr>
          <w:color w:val="555555"/>
          <w:sz w:val="18"/>
        </w:rPr>
        <w:t xml:space="preserve">Fremdrentengesetz</w:t>
      </w:r>
    </w:p>
    <w:p>
      <w:r>
        <w:rPr>
          <w:color w:val="555555"/>
          <w:sz w:val="18"/>
        </w:rPr>
        <w:t xml:space="preserve">Stand: 10.06.2019 (konsolidierte Textfassung, kein amtliches Inkrafttretensdatum)</w:t>
      </w:r>
    </w:p>
    <w:p>
      <w:r>
        <w:t xml:space="preserve">(1) Nach den für die gesetzliche Unfallversicherung maßgebenden bundesrechtlichen Vorschriften wird auch entschädigt</w:t>
      </w:r>
    </w:p>
    <w:p>
      <w:pPr>
        <w:ind w:left="420"/>
      </w:pPr>
      <w:r>
        <w:t xml:space="preserve">1. ein außerhalb des Gebiets der Bundesrepublik Deutschland eingetretener Arbeitsunfall, wenn der Verletzte im Zeitpunkt des Unfalls bei einem deutschen Träger der gesetzlichen Unfallversicherung versichert war;</w:t>
      </w:r>
    </w:p>
    <w:p>
      <w:pPr>
        <w:ind w:left="420"/>
      </w:pPr>
      <w:r>
        <w:t xml:space="preserve">2. ein Arbeitsunfall, wenn</w:t>
      </w:r>
    </w:p>
    <w:p>
      <w:pPr>
        <w:ind w:left="780"/>
      </w:pPr>
      <w:r>
        <w:t xml:space="preserve">a) der Verletzte im Zeitpunkt des Unfalls bei einem nichtdeutschen Träger der gesetzlichen Unfallversicherung versichert war oder</w:t>
      </w:r>
    </w:p>
    <w:p>
      <w:pPr>
        <w:ind w:left="780"/>
      </w:pPr>
      <w:r>
        <w:t xml:space="preserve">b) sich der Unfall nach dem 30. Juni 1944 in einem Gebiet ereignet hat, aus dem der Berechtigte vertrieben ist, und der Verletzte, weil eine ordnungsmäßig geregelte Unfallversicherung nicht durchgeführt worden ist, nicht versichert war.</w:t>
      </w:r>
    </w:p>
    <w:p>
      <w:r>
        <w:t xml:space="preserve">(2) Unfälle, gegen die der Verletzte an dem für das anzuwendende Recht maßgeblichen Ort (§ 7) nicht versichert gewesen wäre, gelten nicht als Arbeitsunfälle im Sinne des Absatzes 1, es sei denn, der Verletzte hätte sich an diesem Ort gegen Unfälle dieser Art freiwillig versichern können.</w:t>
      </w:r>
    </w:p>
    <w:p>
      <w:r>
        <w:t xml:space="preserve">(3) Auf Berufskrankheiten sind Absätze 1 und 2 entsprechend anzuwenden. Als Zeitpunkt des Unfalls gilt der letzte Tag, an dem der Versicherte in einem Unternehmen Arbeiten verrichtet hat, die ihrer Art nach geeignet sind, die Berufskrankheit zu verursachen.</w:t>
      </w:r>
    </w:p>
    <w:p>
      <w:r>
        <w:t xml:space="preserve">(4) Die Leistungen für Arbeitsunfälle und Berufskrankheiten, auf die Absatz 1 Nr. 1 anzuwenden ist, sind auch Personen zu gewähren, die nicht zu dem Personenkreis des § 1 Buchstaben a bis d gehören. Dies gilt auch für Arbeitsunfälle und Berufskrankheiten, auf die Absatz 1 Nr. 2 Buchstabe a anzuwenden ist, wenn die durch den Arbeitsunfall oder die Berufskrankheit entstandenen Verpflichtungen nach den Vorschriften der Reichsversicherungsgesetze auf einen deutschen Träger der gesetzlichen Unfallversicherung übergegangen sind.</w:t>
      </w:r>
    </w:p>
    <w:p>
      <w:r>
        <w:rPr>
          <w:color w:val="555555"/>
          <w:sz w:val="17"/>
        </w:rPr>
        <w:t xml:space="preserve">Zitiervorschlag: § 5 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