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FRG</w:t>
      </w:r>
    </w:p>
    <w:p>
      <w:r>
        <w:rPr>
          <w:color w:val="555555"/>
          <w:sz w:val="18"/>
        </w:rPr>
        <w:t xml:space="preserve">Fremdrentengesetz</w:t>
      </w:r>
    </w:p>
    <w:p>
      <w:r>
        <w:rPr>
          <w:color w:val="555555"/>
          <w:sz w:val="18"/>
        </w:rPr>
        <w:t xml:space="preserve">Stand: 10.06.2019 (konsolidierte Textfassung, kein amtliches Inkrafttretensdatum)</w:t>
      </w:r>
    </w:p>
    <w:p>
      <w:r>
        <w:t xml:space="preserve">(1) Für die Feststellung der nach diesem Gesetz erheblichen Tatsachen genügt es, wenn sie glaubhaft gemacht sind. Eine Tatsache ist glaubhaft gemacht, wenn ihr Vorliegen nach dem Ergebnis der Ermittlungen, die sich auf sämtliche erreichbaren Beweismittel erstrecken sollen, überwiegend wahrscheinlich ist.</w:t>
      </w:r>
    </w:p>
    <w:p>
      <w:r>
        <w:t xml:space="preserve">(2) Absatz 1 gilt auch für außerhalb der Bundesrepublik Deutschland eingetretene Tatsachen, die nach den allgemeinen Vorschriften erheblich sind.</w:t>
      </w:r>
    </w:p>
    <w:p>
      <w:r>
        <w:t xml:space="preserve">(3) Als Mittel der Glaubhaftmachung können auch eidesstattliche Versicherungen zugelassen werden. Der mit der Durchführung des Verfahrens befaßte Versicherungsträger ist für die Abnahme eidesstattlicher Versicherungen zuständig; er gilt als Behörde im Sinne des § 156 des Strafgesetzbuchs.</w:t>
      </w:r>
    </w:p>
    <w:p>
      <w:r>
        <w:rPr>
          <w:color w:val="555555"/>
          <w:sz w:val="17"/>
        </w:rPr>
        <w:t xml:space="preserve">Zitiervorschlag: § 4 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