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FRG</w:t>
      </w:r>
    </w:p>
    <w:p>
      <w:r>
        <w:rPr>
          <w:color w:val="555555"/>
          <w:sz w:val="18"/>
        </w:rPr>
        <w:t xml:space="preserve">Fremdrentengesetz</w:t>
      </w:r>
    </w:p>
    <w:p>
      <w:r>
        <w:rPr>
          <w:color w:val="555555"/>
          <w:sz w:val="18"/>
        </w:rPr>
        <w:t xml:space="preserve">Stand: 10.06.2019 (konsolidierte Textfassung, kein amtliches Inkrafttretensdatum)</w:t>
      </w:r>
    </w:p>
    <w:p>
      <w:r>
        <w:t xml:space="preserve">Zeiten, in denen der Berechtigte aus einem System der sozialen Sicherheit eine Rente wegen verminderter Erwerbsfähigkeit oder wegen Alters oder anstelle einer solchen Leistung eine andere Leistung bezogen hat, stehen Rentenbezugszeiten nach dem Sechsten Buch Sozialgesetzbuch gleich, wenn der Rente Zeiten zugrunde liegen, die nach diesem Gesetz anrechenbar sind.</w:t>
      </w:r>
    </w:p>
    <w:p>
      <w:r>
        <w:rPr>
          <w:color w:val="555555"/>
          <w:sz w:val="17"/>
        </w:rPr>
        <w:t xml:space="preserve">Zitiervorschlag: § 28a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