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FRG</w:t>
      </w:r>
    </w:p>
    <w:p>
      <w:r>
        <w:rPr>
          <w:color w:val="555555"/>
          <w:sz w:val="18"/>
        </w:rPr>
        <w:t xml:space="preserve">Fremdrentengesetz</w:t>
      </w:r>
    </w:p>
    <w:p>
      <w:r>
        <w:rPr>
          <w:color w:val="555555"/>
          <w:sz w:val="18"/>
        </w:rPr>
        <w:t xml:space="preserve">Stand: 10.06.2019 (konsolidierte Textfassung, kein amtliches Inkrafttretensdatum)</w:t>
      </w:r>
    </w:p>
    <w:p>
      <w:r>
        <w:t xml:space="preserve">Werden Beitrags- und Beschäftigungszeiten nur für einen Teil eines Kalenderjahres angerechnet, werden bei Anwendung des § 22 Abs. 1 die Entgeltpunkte nur anteilmäßig berücksichtigt. Dabei zählen Kalendermonate, die zum Teil mit Anrechnungszeiten nach § 58 Abs. 1 Nr. 1 des Sechsten Buches Sozialgesetzbuch belegt sind, als Zeiten mit vollwertigen Beiträgen. Für Zeiten, in denen der Versicherte innerhalb eines Kalenderjahres teilzeitbeschäftigt oder unständig beschäftigt war, werden Entgeltpunkte mit dem auf den Teilzeitraum entfallenden Anteil berücksichtigt. Dabei werden für Zeiten einer Beschäftigung mit einer regelmäßigen Arbeitszeit von weniger als zehn Stunden in der Woche Entgeltpunkte nicht ermittelt. Die Sätze 1 bis 4 gelten entsprechend, soweit anstelle einer Beschäftigung eine selbständige Tätigkeit ausgeübt worden ist.</w:t>
      </w:r>
    </w:p>
    <w:p>
      <w:r>
        <w:rPr>
          <w:color w:val="555555"/>
          <w:sz w:val="17"/>
        </w:rPr>
        <w:t xml:space="preserve">Zitiervorschlag: § 26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